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B8217" w14:textId="17D0AA6E" w:rsidR="003C1EB7" w:rsidRPr="001D63A2" w:rsidRDefault="00FA08DF" w:rsidP="00D86B07">
      <w:pPr>
        <w:ind w:right="191"/>
        <w:jc w:val="center"/>
        <w:rPr>
          <w:rFonts w:ascii="Century Gothic" w:eastAsia="Arial" w:hAnsi="Century Gothic" w:cs="Arial"/>
          <w:b/>
          <w:sz w:val="24"/>
          <w:szCs w:val="24"/>
        </w:rPr>
      </w:pPr>
      <w:r w:rsidRPr="001D63A2">
        <w:rPr>
          <w:rFonts w:ascii="Century Gothic" w:eastAsia="Arial" w:hAnsi="Century Gothic" w:cs="Arial"/>
          <w:b/>
          <w:sz w:val="24"/>
          <w:szCs w:val="24"/>
        </w:rPr>
        <w:t xml:space="preserve">TEXTO APROBADO EN PRIMER DEBATE  EN LA COMISIÓN PRIMERA DE LA CÁMARA DE REPRESENTANTES DEL </w:t>
      </w:r>
      <w:r w:rsidRPr="001D63A2">
        <w:rPr>
          <w:rFonts w:ascii="Century Gothic" w:eastAsia="Arial" w:hAnsi="Century Gothic" w:cs="Arial"/>
          <w:b/>
          <w:sz w:val="24"/>
          <w:szCs w:val="24"/>
          <w:lang w:val="es-ES_tradnl"/>
        </w:rPr>
        <w:t xml:space="preserve">PROYECTO DE LEY </w:t>
      </w:r>
      <w:r w:rsidR="00EF2030" w:rsidRPr="001D63A2">
        <w:rPr>
          <w:rFonts w:ascii="Century Gothic" w:eastAsia="Arial" w:hAnsi="Century Gothic" w:cs="Arial"/>
          <w:b/>
          <w:sz w:val="24"/>
          <w:szCs w:val="24"/>
        </w:rPr>
        <w:t>N</w:t>
      </w:r>
      <w:r w:rsidR="002D3B7D" w:rsidRPr="001D63A2">
        <w:rPr>
          <w:rFonts w:ascii="Century Gothic" w:eastAsia="Arial" w:hAnsi="Century Gothic" w:cs="Arial"/>
          <w:b/>
          <w:sz w:val="24"/>
          <w:szCs w:val="24"/>
        </w:rPr>
        <w:t>o</w:t>
      </w:r>
      <w:r w:rsidR="00EF2030" w:rsidRPr="001D63A2">
        <w:rPr>
          <w:rFonts w:ascii="Century Gothic" w:eastAsia="Arial" w:hAnsi="Century Gothic" w:cs="Arial"/>
          <w:b/>
          <w:sz w:val="24"/>
          <w:szCs w:val="24"/>
        </w:rPr>
        <w:t>. 475 DE 2020 CÁMARA –</w:t>
      </w:r>
      <w:r w:rsidR="002D3B7D" w:rsidRPr="001D63A2">
        <w:rPr>
          <w:rFonts w:ascii="Century Gothic" w:eastAsia="Arial" w:hAnsi="Century Gothic" w:cs="Arial"/>
          <w:b/>
          <w:sz w:val="24"/>
          <w:szCs w:val="24"/>
        </w:rPr>
        <w:t xml:space="preserve"> </w:t>
      </w:r>
      <w:r w:rsidR="00EF2030" w:rsidRPr="001D63A2">
        <w:rPr>
          <w:rFonts w:ascii="Century Gothic" w:eastAsia="Arial" w:hAnsi="Century Gothic" w:cs="Arial"/>
          <w:b/>
          <w:sz w:val="24"/>
          <w:szCs w:val="24"/>
        </w:rPr>
        <w:t>N</w:t>
      </w:r>
      <w:r w:rsidR="002D3B7D" w:rsidRPr="001D63A2">
        <w:rPr>
          <w:rFonts w:ascii="Century Gothic" w:eastAsia="Arial" w:hAnsi="Century Gothic" w:cs="Arial"/>
          <w:b/>
          <w:sz w:val="24"/>
          <w:szCs w:val="24"/>
        </w:rPr>
        <w:t>o</w:t>
      </w:r>
      <w:r w:rsidR="00EF2030" w:rsidRPr="001D63A2">
        <w:rPr>
          <w:rFonts w:ascii="Century Gothic" w:eastAsia="Arial" w:hAnsi="Century Gothic" w:cs="Arial"/>
          <w:b/>
          <w:sz w:val="24"/>
          <w:szCs w:val="24"/>
        </w:rPr>
        <w:t>.157 DE 2020 SENADO “POR MEDIO DEL CUAL SE MODIFICA EL CÓDIGO PENAL COLOMBIANO LEY 599 DE 2000, ADICIONANDO UNA  CIRCUNSTANCIA  DE  AGRAVACIÓN  PUNITIVA CONSAGRADO EN EL ARTÍCULO 188-B, SE MODIFICA SU PARÁGRAFO Y SE ADICIONA</w:t>
      </w:r>
      <w:r w:rsidR="006222F3" w:rsidRPr="001D63A2">
        <w:rPr>
          <w:rFonts w:ascii="Century Gothic" w:eastAsia="Arial" w:hAnsi="Century Gothic" w:cs="Arial"/>
          <w:b/>
          <w:sz w:val="24"/>
          <w:szCs w:val="24"/>
        </w:rPr>
        <w:t xml:space="preserve">N DOS </w:t>
      </w:r>
      <w:r w:rsidR="00EF2030" w:rsidRPr="001D63A2">
        <w:rPr>
          <w:rFonts w:ascii="Century Gothic" w:eastAsia="Arial" w:hAnsi="Century Gothic" w:cs="Arial"/>
          <w:b/>
          <w:sz w:val="24"/>
          <w:szCs w:val="24"/>
        </w:rPr>
        <w:t>PARÁGRAFO</w:t>
      </w:r>
      <w:r w:rsidR="006222F3" w:rsidRPr="001D63A2">
        <w:rPr>
          <w:rFonts w:ascii="Century Gothic" w:eastAsia="Arial" w:hAnsi="Century Gothic" w:cs="Arial"/>
          <w:b/>
          <w:sz w:val="24"/>
          <w:szCs w:val="24"/>
        </w:rPr>
        <w:t>S</w:t>
      </w:r>
      <w:r w:rsidR="00EF2030" w:rsidRPr="001D63A2">
        <w:rPr>
          <w:rFonts w:ascii="Century Gothic" w:eastAsia="Arial" w:hAnsi="Century Gothic" w:cs="Arial"/>
          <w:b/>
          <w:sz w:val="24"/>
          <w:szCs w:val="24"/>
        </w:rPr>
        <w:t xml:space="preserve"> AL CITADO ARTÍCULO”</w:t>
      </w:r>
    </w:p>
    <w:p w14:paraId="787B083C" w14:textId="77777777" w:rsidR="003C1EB7" w:rsidRPr="001D63A2" w:rsidRDefault="00EF2030">
      <w:pPr>
        <w:jc w:val="center"/>
        <w:rPr>
          <w:rFonts w:ascii="Century Gothic" w:eastAsia="Arial" w:hAnsi="Century Gothic" w:cs="Arial"/>
          <w:b/>
          <w:sz w:val="24"/>
          <w:szCs w:val="24"/>
        </w:rPr>
      </w:pPr>
      <w:r w:rsidRPr="001D63A2">
        <w:rPr>
          <w:rFonts w:ascii="Century Gothic" w:eastAsia="Arial" w:hAnsi="Century Gothic" w:cs="Arial"/>
          <w:b/>
          <w:sz w:val="24"/>
          <w:szCs w:val="24"/>
        </w:rPr>
        <w:t>EL CONGRESO DE COLOMBIA,</w:t>
      </w:r>
    </w:p>
    <w:p w14:paraId="22F7E7E0" w14:textId="77777777" w:rsidR="003C1EB7" w:rsidRPr="001D63A2" w:rsidRDefault="00EF2030">
      <w:pPr>
        <w:jc w:val="center"/>
        <w:rPr>
          <w:rFonts w:ascii="Century Gothic" w:eastAsia="Arial" w:hAnsi="Century Gothic" w:cs="Arial"/>
          <w:b/>
          <w:sz w:val="24"/>
          <w:szCs w:val="24"/>
        </w:rPr>
      </w:pPr>
      <w:r w:rsidRPr="001D63A2">
        <w:rPr>
          <w:rFonts w:ascii="Century Gothic" w:eastAsia="Arial" w:hAnsi="Century Gothic" w:cs="Arial"/>
          <w:b/>
          <w:sz w:val="24"/>
          <w:szCs w:val="24"/>
        </w:rPr>
        <w:t>DECRETA</w:t>
      </w:r>
    </w:p>
    <w:p w14:paraId="2E267A24" w14:textId="77777777" w:rsidR="003C1EB7" w:rsidRPr="001D63A2" w:rsidRDefault="00EF2030">
      <w:pPr>
        <w:jc w:val="both"/>
        <w:rPr>
          <w:rFonts w:ascii="Century Gothic" w:eastAsia="Arial" w:hAnsi="Century Gothic" w:cs="Arial"/>
          <w:sz w:val="24"/>
          <w:szCs w:val="24"/>
        </w:rPr>
      </w:pPr>
      <w:r w:rsidRPr="001D63A2">
        <w:rPr>
          <w:rFonts w:ascii="Century Gothic" w:eastAsia="Arial" w:hAnsi="Century Gothic" w:cs="Arial"/>
          <w:b/>
          <w:sz w:val="24"/>
          <w:szCs w:val="24"/>
        </w:rPr>
        <w:t>Artículo 1°.</w:t>
      </w:r>
      <w:r w:rsidRPr="001D63A2">
        <w:rPr>
          <w:rFonts w:ascii="Century Gothic" w:eastAsia="Arial" w:hAnsi="Century Gothic" w:cs="Arial"/>
          <w:sz w:val="24"/>
          <w:szCs w:val="24"/>
        </w:rPr>
        <w:t xml:space="preserve"> Modifíquese el artículo 188-B del Código Penal Colombiano, Ley 599 de 2000, el cual quedará así: </w:t>
      </w:r>
    </w:p>
    <w:p w14:paraId="15288EAC" w14:textId="77777777" w:rsidR="003C1EB7" w:rsidRPr="001D63A2" w:rsidRDefault="00EF2030" w:rsidP="001D63A2">
      <w:pPr>
        <w:ind w:left="284"/>
        <w:jc w:val="both"/>
        <w:rPr>
          <w:rFonts w:ascii="Century Gothic" w:eastAsia="Arial" w:hAnsi="Century Gothic" w:cs="Arial"/>
          <w:sz w:val="24"/>
          <w:szCs w:val="24"/>
        </w:rPr>
      </w:pPr>
      <w:r w:rsidRPr="001D63A2">
        <w:rPr>
          <w:rFonts w:ascii="Century Gothic" w:eastAsia="Arial" w:hAnsi="Century Gothic" w:cs="Arial"/>
          <w:sz w:val="24"/>
          <w:szCs w:val="24"/>
        </w:rPr>
        <w:t xml:space="preserve">Artículo 188-B. Circunstancias de agravación punitiva. Las penas para los delitos descritos en el artículo 188 y 188-A, se aumentará de una tercera parte a la mitad, cuando: </w:t>
      </w:r>
    </w:p>
    <w:p w14:paraId="4FF61CEC" w14:textId="58648D62" w:rsidR="003C1EB7" w:rsidRPr="001D63A2" w:rsidRDefault="00EF2030" w:rsidP="001D63A2">
      <w:pPr>
        <w:ind w:left="284"/>
        <w:jc w:val="both"/>
        <w:rPr>
          <w:rFonts w:ascii="Century Gothic" w:eastAsia="Arial" w:hAnsi="Century Gothic" w:cs="Arial"/>
          <w:sz w:val="24"/>
          <w:szCs w:val="24"/>
        </w:rPr>
      </w:pPr>
      <w:r w:rsidRPr="001D63A2">
        <w:rPr>
          <w:rFonts w:ascii="Century Gothic" w:eastAsia="Arial" w:hAnsi="Century Gothic" w:cs="Arial"/>
          <w:sz w:val="24"/>
          <w:szCs w:val="24"/>
        </w:rPr>
        <w:t>1.  Cuando  se  realice  en  persona  que  padezca,  inmadurez  psicológica,  trastorno mental, enajenación mental y trastorno psíqu</w:t>
      </w:r>
      <w:r w:rsidR="00496A4F" w:rsidRPr="001D63A2">
        <w:rPr>
          <w:rFonts w:ascii="Century Gothic" w:eastAsia="Arial" w:hAnsi="Century Gothic" w:cs="Arial"/>
          <w:sz w:val="24"/>
          <w:szCs w:val="24"/>
        </w:rPr>
        <w:t>ico, temporal o permanentemente</w:t>
      </w:r>
      <w:r w:rsidRPr="001D63A2">
        <w:rPr>
          <w:rFonts w:ascii="Century Gothic" w:eastAsia="Arial" w:hAnsi="Century Gothic" w:cs="Arial"/>
          <w:sz w:val="24"/>
          <w:szCs w:val="24"/>
        </w:rPr>
        <w:t xml:space="preserve">. </w:t>
      </w:r>
    </w:p>
    <w:p w14:paraId="2FC06BAB" w14:textId="77777777" w:rsidR="003C1EB7" w:rsidRPr="001D63A2" w:rsidRDefault="00EF2030" w:rsidP="001D63A2">
      <w:pPr>
        <w:ind w:left="284"/>
        <w:jc w:val="both"/>
        <w:rPr>
          <w:rFonts w:ascii="Century Gothic" w:eastAsia="Arial" w:hAnsi="Century Gothic" w:cs="Arial"/>
          <w:sz w:val="24"/>
          <w:szCs w:val="24"/>
        </w:rPr>
      </w:pPr>
      <w:r w:rsidRPr="001D63A2">
        <w:rPr>
          <w:rFonts w:ascii="Century Gothic" w:eastAsia="Arial" w:hAnsi="Century Gothic" w:cs="Arial"/>
          <w:sz w:val="24"/>
          <w:szCs w:val="24"/>
        </w:rPr>
        <w:t xml:space="preserve">2. Como consecuencia, la víctima resulte afectada en daño físico permanente y/o lesión   psíquica, inmadurez   mental, trastorno   mental   en   forma   temporal   o permanente o daño en la salud de forma permanente. </w:t>
      </w:r>
    </w:p>
    <w:p w14:paraId="03EF421C" w14:textId="77777777" w:rsidR="003C1EB7" w:rsidRPr="001D63A2" w:rsidRDefault="00EF2030" w:rsidP="001D63A2">
      <w:pPr>
        <w:ind w:left="284"/>
        <w:jc w:val="both"/>
        <w:rPr>
          <w:rFonts w:ascii="Century Gothic" w:eastAsia="Arial" w:hAnsi="Century Gothic" w:cs="Arial"/>
          <w:sz w:val="24"/>
          <w:szCs w:val="24"/>
        </w:rPr>
      </w:pPr>
      <w:r w:rsidRPr="001D63A2">
        <w:rPr>
          <w:rFonts w:ascii="Century Gothic" w:eastAsia="Arial" w:hAnsi="Century Gothic" w:cs="Arial"/>
          <w:sz w:val="24"/>
          <w:szCs w:val="24"/>
        </w:rPr>
        <w:t xml:space="preserve">3. El responsable sea cónyuge o compañero permanente o pariente hasta el tercer grado de consanguinidad, segundo de afinidad y primero civil. </w:t>
      </w:r>
    </w:p>
    <w:p w14:paraId="0CC7EE7D" w14:textId="77777777" w:rsidR="003C1EB7" w:rsidRPr="001D63A2" w:rsidRDefault="00EF2030" w:rsidP="001D63A2">
      <w:pPr>
        <w:ind w:left="284"/>
        <w:jc w:val="both"/>
        <w:rPr>
          <w:rFonts w:ascii="Century Gothic" w:eastAsia="Arial" w:hAnsi="Century Gothic" w:cs="Arial"/>
          <w:sz w:val="24"/>
          <w:szCs w:val="24"/>
        </w:rPr>
      </w:pPr>
      <w:r w:rsidRPr="001D63A2">
        <w:rPr>
          <w:rFonts w:ascii="Century Gothic" w:eastAsia="Arial" w:hAnsi="Century Gothic" w:cs="Arial"/>
          <w:sz w:val="24"/>
          <w:szCs w:val="24"/>
        </w:rPr>
        <w:t xml:space="preserve">4. El autor o partícipe sea servidor público. </w:t>
      </w:r>
    </w:p>
    <w:p w14:paraId="6D14DB5E" w14:textId="52634F8C" w:rsidR="003C1EB7" w:rsidRPr="001D63A2" w:rsidRDefault="00EF2030" w:rsidP="001D63A2">
      <w:pPr>
        <w:ind w:left="284"/>
        <w:jc w:val="both"/>
        <w:rPr>
          <w:rFonts w:ascii="Century Gothic" w:eastAsia="Arial" w:hAnsi="Century Gothic" w:cs="Arial"/>
          <w:sz w:val="24"/>
          <w:szCs w:val="24"/>
        </w:rPr>
      </w:pPr>
      <w:r w:rsidRPr="001D63A2">
        <w:rPr>
          <w:rFonts w:ascii="Century Gothic" w:eastAsia="Arial" w:hAnsi="Century Gothic" w:cs="Arial"/>
          <w:sz w:val="24"/>
          <w:szCs w:val="24"/>
        </w:rPr>
        <w:t>5. Cuando para su comisión, se someta a un niño, niña, adolescente o mayor de edad a la ingesta de sustancias psicoactivas que inhiban su razón, juicio o voluntad, con fines de mendicidad ajena</w:t>
      </w:r>
      <w:r w:rsidR="00075138" w:rsidRPr="001D63A2">
        <w:rPr>
          <w:rFonts w:ascii="Century Gothic" w:eastAsia="Arial" w:hAnsi="Century Gothic" w:cs="Arial"/>
          <w:sz w:val="24"/>
          <w:szCs w:val="24"/>
        </w:rPr>
        <w:t>, servidumbre por deudas,</w:t>
      </w:r>
      <w:r w:rsidRPr="001D63A2">
        <w:rPr>
          <w:rFonts w:ascii="Century Gothic" w:eastAsia="Arial" w:hAnsi="Century Gothic" w:cs="Arial"/>
          <w:sz w:val="24"/>
          <w:szCs w:val="24"/>
        </w:rPr>
        <w:t xml:space="preserve"> o cualquier otro  fin  de  explotación</w:t>
      </w:r>
      <w:r w:rsidR="00075138" w:rsidRPr="001D63A2">
        <w:rPr>
          <w:rFonts w:ascii="Century Gothic" w:eastAsia="Arial" w:hAnsi="Century Gothic" w:cs="Arial"/>
          <w:sz w:val="24"/>
          <w:szCs w:val="24"/>
        </w:rPr>
        <w:t>.</w:t>
      </w:r>
      <w:r w:rsidRPr="001D63A2">
        <w:rPr>
          <w:rFonts w:ascii="Century Gothic" w:eastAsia="Arial" w:hAnsi="Century Gothic" w:cs="Arial"/>
          <w:sz w:val="24"/>
          <w:szCs w:val="24"/>
        </w:rPr>
        <w:t xml:space="preserve"> </w:t>
      </w:r>
    </w:p>
    <w:p w14:paraId="54309A8F" w14:textId="46EF8E71" w:rsidR="003C1EB7" w:rsidRPr="001D63A2" w:rsidRDefault="00EF2030" w:rsidP="001D63A2">
      <w:pPr>
        <w:ind w:left="284"/>
        <w:jc w:val="both"/>
        <w:rPr>
          <w:rFonts w:ascii="Century Gothic" w:eastAsia="Arial" w:hAnsi="Century Gothic" w:cs="Arial"/>
          <w:sz w:val="24"/>
          <w:szCs w:val="24"/>
        </w:rPr>
      </w:pPr>
      <w:r w:rsidRPr="001D63A2">
        <w:rPr>
          <w:rFonts w:ascii="Century Gothic" w:eastAsia="Arial" w:hAnsi="Century Gothic" w:cs="Arial"/>
          <w:sz w:val="24"/>
          <w:szCs w:val="24"/>
        </w:rPr>
        <w:lastRenderedPageBreak/>
        <w:t>PARÁGRAFO PRIMERO. Cuando las conductas descritas en los artículos 188 y 188-A se realice</w:t>
      </w:r>
      <w:r w:rsidR="00075138" w:rsidRPr="001D63A2">
        <w:rPr>
          <w:rFonts w:ascii="Century Gothic" w:eastAsia="Arial" w:hAnsi="Century Gothic" w:cs="Arial"/>
          <w:sz w:val="24"/>
          <w:szCs w:val="24"/>
        </w:rPr>
        <w:t>n</w:t>
      </w:r>
      <w:r w:rsidRPr="001D63A2">
        <w:rPr>
          <w:rFonts w:ascii="Century Gothic" w:eastAsia="Arial" w:hAnsi="Century Gothic" w:cs="Arial"/>
          <w:sz w:val="24"/>
          <w:szCs w:val="24"/>
        </w:rPr>
        <w:t xml:space="preserve"> sobre menor de dieciocho (18) años se aumentará en la mitad de la misma pena.</w:t>
      </w:r>
    </w:p>
    <w:p w14:paraId="67A65210" w14:textId="5A42F9F7" w:rsidR="003C1EB7" w:rsidRPr="001D63A2" w:rsidRDefault="00EF2030" w:rsidP="001D63A2">
      <w:pPr>
        <w:ind w:left="284"/>
        <w:jc w:val="both"/>
        <w:rPr>
          <w:rFonts w:ascii="Century Gothic" w:eastAsia="Arial" w:hAnsi="Century Gothic" w:cs="Arial"/>
          <w:sz w:val="24"/>
          <w:szCs w:val="24"/>
        </w:rPr>
      </w:pPr>
      <w:r w:rsidRPr="001D63A2">
        <w:rPr>
          <w:rFonts w:ascii="Century Gothic" w:eastAsia="Arial" w:hAnsi="Century Gothic" w:cs="Arial"/>
          <w:sz w:val="24"/>
          <w:szCs w:val="24"/>
        </w:rPr>
        <w:t xml:space="preserve">PARÁGRAFO SEGUNDO. Cuando la conducta  descrita  en  el  artículo  188  y 188  A  sea cometida  o  facilitada  por uno  o  ambos </w:t>
      </w:r>
      <w:r w:rsidR="0035048D" w:rsidRPr="001D63A2">
        <w:rPr>
          <w:rFonts w:ascii="Century Gothic" w:eastAsia="Arial" w:hAnsi="Century Gothic" w:cs="Arial"/>
          <w:sz w:val="24"/>
          <w:szCs w:val="24"/>
        </w:rPr>
        <w:t>padres</w:t>
      </w:r>
      <w:r w:rsidRPr="001D63A2">
        <w:rPr>
          <w:rFonts w:ascii="Century Gothic" w:eastAsia="Arial" w:hAnsi="Century Gothic" w:cs="Arial"/>
          <w:sz w:val="24"/>
          <w:szCs w:val="24"/>
        </w:rPr>
        <w:t xml:space="preserve">  del  niño,  niña  o  adolescente,  o  por quien o quienes </w:t>
      </w:r>
      <w:r w:rsidR="0035048D" w:rsidRPr="001D63A2">
        <w:rPr>
          <w:rFonts w:ascii="Century Gothic" w:eastAsia="Arial" w:hAnsi="Century Gothic" w:cs="Arial"/>
          <w:sz w:val="24"/>
          <w:szCs w:val="24"/>
        </w:rPr>
        <w:t>tengan su representación legal</w:t>
      </w:r>
      <w:r w:rsidR="00F768BF">
        <w:rPr>
          <w:rFonts w:ascii="Century Gothic" w:eastAsia="Arial" w:hAnsi="Century Gothic" w:cs="Arial"/>
          <w:sz w:val="24"/>
          <w:szCs w:val="24"/>
        </w:rPr>
        <w:t xml:space="preserve"> o</w:t>
      </w:r>
      <w:bookmarkStart w:id="0" w:name="_GoBack"/>
      <w:bookmarkEnd w:id="0"/>
      <w:r w:rsidR="0035048D" w:rsidRPr="001D63A2">
        <w:rPr>
          <w:rFonts w:ascii="Century Gothic" w:eastAsia="Arial" w:hAnsi="Century Gothic" w:cs="Arial"/>
          <w:sz w:val="24"/>
          <w:szCs w:val="24"/>
        </w:rPr>
        <w:t xml:space="preserve"> </w:t>
      </w:r>
      <w:r w:rsidRPr="001D63A2">
        <w:rPr>
          <w:rFonts w:ascii="Century Gothic" w:eastAsia="Arial" w:hAnsi="Century Gothic" w:cs="Arial"/>
          <w:sz w:val="24"/>
          <w:szCs w:val="24"/>
        </w:rPr>
        <w:t xml:space="preserve">lo tengan bajo su custodia o cuidado, con fines de mendicidad ajena o cualquier  otro  fin  de  explotación,  dará  lugar  a  la  terminación  de  la  patria  potestad  de conformidad con lo establecido en el </w:t>
      </w:r>
      <w:r w:rsidR="003014AF" w:rsidRPr="001D63A2">
        <w:rPr>
          <w:rFonts w:ascii="Century Gothic" w:eastAsia="Arial" w:hAnsi="Century Gothic" w:cs="Arial"/>
          <w:sz w:val="24"/>
          <w:szCs w:val="24"/>
        </w:rPr>
        <w:t>artículo</w:t>
      </w:r>
      <w:r w:rsidRPr="001D63A2">
        <w:rPr>
          <w:rFonts w:ascii="Century Gothic" w:eastAsia="Arial" w:hAnsi="Century Gothic" w:cs="Arial"/>
          <w:sz w:val="24"/>
          <w:szCs w:val="24"/>
        </w:rPr>
        <w:t xml:space="preserve"> 315 del Código Civil</w:t>
      </w:r>
      <w:r w:rsidR="003014AF" w:rsidRPr="001D63A2">
        <w:rPr>
          <w:rFonts w:ascii="Century Gothic" w:eastAsia="Arial" w:hAnsi="Century Gothic" w:cs="Arial"/>
          <w:sz w:val="24"/>
          <w:szCs w:val="24"/>
        </w:rPr>
        <w:t xml:space="preserve">, o la norma que haga sus veces, </w:t>
      </w:r>
      <w:r w:rsidRPr="001D63A2">
        <w:rPr>
          <w:rFonts w:ascii="Century Gothic" w:eastAsia="Arial" w:hAnsi="Century Gothic" w:cs="Arial"/>
          <w:sz w:val="24"/>
          <w:szCs w:val="24"/>
        </w:rPr>
        <w:t xml:space="preserve"> así como la pérdida de la custodia de quien o quienes tengan</w:t>
      </w:r>
      <w:r w:rsidR="003014AF" w:rsidRPr="001D63A2">
        <w:rPr>
          <w:rFonts w:ascii="Century Gothic" w:eastAsia="Arial" w:hAnsi="Century Gothic" w:cs="Arial"/>
          <w:sz w:val="24"/>
          <w:szCs w:val="24"/>
        </w:rPr>
        <w:t xml:space="preserve"> al niño, niña o adolescente </w:t>
      </w:r>
      <w:r w:rsidRPr="001D63A2">
        <w:rPr>
          <w:rFonts w:ascii="Century Gothic" w:eastAsia="Arial" w:hAnsi="Century Gothic" w:cs="Arial"/>
          <w:sz w:val="24"/>
          <w:szCs w:val="24"/>
        </w:rPr>
        <w:t xml:space="preserve"> bajo su cuidado y sean igualmente responsables, previo al procedimiento legal vigente establecido en la Ley 1098 de 2006, adelantado por la autoridad administrativa o judicial</w:t>
      </w:r>
      <w:r w:rsidR="00AE56A5" w:rsidRPr="001D63A2">
        <w:rPr>
          <w:rFonts w:ascii="Century Gothic" w:eastAsia="Arial" w:hAnsi="Century Gothic" w:cs="Arial"/>
          <w:sz w:val="24"/>
          <w:szCs w:val="24"/>
        </w:rPr>
        <w:t>,</w:t>
      </w:r>
      <w:r w:rsidRPr="001D63A2">
        <w:rPr>
          <w:rFonts w:ascii="Century Gothic" w:eastAsia="Arial" w:hAnsi="Century Gothic" w:cs="Arial"/>
          <w:sz w:val="24"/>
          <w:szCs w:val="24"/>
        </w:rPr>
        <w:t xml:space="preserve"> según el caso. </w:t>
      </w:r>
      <w:r w:rsidR="005F70A8" w:rsidRPr="001D63A2">
        <w:rPr>
          <w:rFonts w:ascii="Century Gothic" w:eastAsia="Arial" w:hAnsi="Century Gothic" w:cs="Arial"/>
          <w:sz w:val="24"/>
          <w:szCs w:val="24"/>
        </w:rPr>
        <w:t xml:space="preserve">En todo caso para la aplicación de este parágrafo se deberá establecer si la conducta no se comete por un estado real de necesidad y subsistencia no protegida o atendida por el Estado. </w:t>
      </w:r>
    </w:p>
    <w:p w14:paraId="1AED1E72" w14:textId="77777777" w:rsidR="001D63A2" w:rsidRPr="001D63A2" w:rsidRDefault="00EF2030" w:rsidP="001D63A2">
      <w:pPr>
        <w:jc w:val="both"/>
        <w:rPr>
          <w:rFonts w:ascii="Century Gothic" w:eastAsia="Century Gothic" w:hAnsi="Century Gothic" w:cs="Century Gothic"/>
          <w:lang w:eastAsia="es-MX"/>
        </w:rPr>
      </w:pPr>
      <w:r w:rsidRPr="001D63A2">
        <w:rPr>
          <w:rFonts w:ascii="Century Gothic" w:eastAsia="Arial" w:hAnsi="Century Gothic" w:cs="Arial"/>
          <w:b/>
          <w:sz w:val="24"/>
          <w:szCs w:val="24"/>
        </w:rPr>
        <w:t>Artículo 2.</w:t>
      </w:r>
      <w:r w:rsidRPr="001D63A2">
        <w:rPr>
          <w:rFonts w:ascii="Century Gothic" w:eastAsia="Arial" w:hAnsi="Century Gothic" w:cs="Arial"/>
          <w:sz w:val="24"/>
          <w:szCs w:val="24"/>
        </w:rPr>
        <w:t xml:space="preserve"> La presente ley rige a partir de su promulgación y deroga todas las disposiciones que le sean contrarias.</w:t>
      </w:r>
      <w:r w:rsidR="00FF6EB3" w:rsidRPr="001D63A2">
        <w:rPr>
          <w:rFonts w:ascii="Century Gothic" w:eastAsia="Century Gothic" w:hAnsi="Century Gothic" w:cs="Century Gothic"/>
          <w:highlight w:val="white"/>
          <w:lang w:eastAsia="es-MX"/>
        </w:rPr>
        <w:t xml:space="preserve"> </w:t>
      </w:r>
    </w:p>
    <w:p w14:paraId="3C33AB64" w14:textId="15B5B15E" w:rsidR="00FF6EB3" w:rsidRPr="001D63A2" w:rsidRDefault="00A46A08" w:rsidP="001D63A2">
      <w:pPr>
        <w:jc w:val="both"/>
        <w:rPr>
          <w:rFonts w:ascii="Century Gothic" w:eastAsia="Century Gothic" w:hAnsi="Century Gothic" w:cs="Century Gothic"/>
          <w:sz w:val="24"/>
          <w:highlight w:val="white"/>
          <w:lang w:eastAsia="es-MX"/>
        </w:rPr>
      </w:pPr>
      <w:r w:rsidRPr="001D63A2">
        <w:rPr>
          <w:rFonts w:ascii="Century Gothic" w:eastAsia="Century Gothic" w:hAnsi="Century Gothic" w:cs="Century Gothic"/>
          <w:sz w:val="24"/>
          <w:lang w:eastAsia="es-MX"/>
        </w:rPr>
        <w:t>En los anteriores términos fue aprobado con modificaciones el presente proyecto de Ley según consta en el acta 03 de sesión presencial del 28 de julio de 2021; así mismo fue anunciado entre otras fechas el día 27 de julio de 2021, según consta en el acta 02 de sesión presencial de esa misma fecha.</w:t>
      </w:r>
    </w:p>
    <w:p w14:paraId="18A4C358" w14:textId="77777777" w:rsidR="00A46A08" w:rsidRPr="001D63A2" w:rsidRDefault="00A46A08" w:rsidP="00FF6EB3">
      <w:pPr>
        <w:tabs>
          <w:tab w:val="left" w:pos="4820"/>
        </w:tabs>
        <w:spacing w:after="160" w:line="259" w:lineRule="auto"/>
        <w:jc w:val="center"/>
        <w:rPr>
          <w:rFonts w:ascii="Century Gothic" w:eastAsia="Century Gothic" w:hAnsi="Century Gothic" w:cs="Century Gothic"/>
          <w:highlight w:val="white"/>
          <w:lang w:eastAsia="es-MX"/>
        </w:rPr>
      </w:pPr>
    </w:p>
    <w:p w14:paraId="03E6BA00" w14:textId="77777777" w:rsidR="00A46A08" w:rsidRPr="00FF6EB3" w:rsidRDefault="00A46A08" w:rsidP="00FF6EB3">
      <w:pPr>
        <w:tabs>
          <w:tab w:val="left" w:pos="4820"/>
        </w:tabs>
        <w:spacing w:after="160" w:line="259" w:lineRule="auto"/>
        <w:jc w:val="center"/>
        <w:rPr>
          <w:rFonts w:ascii="Century Gothic" w:eastAsia="Century Gothic" w:hAnsi="Century Gothic" w:cs="Century Gothic"/>
          <w:highlight w:val="white"/>
          <w:lang w:eastAsia="es-MX"/>
        </w:rPr>
      </w:pPr>
    </w:p>
    <w:p w14:paraId="373FA8F4" w14:textId="31E7508B" w:rsidR="00FF6EB3" w:rsidRPr="00FF6EB3" w:rsidRDefault="00FF6EB3" w:rsidP="00FF6EB3">
      <w:pPr>
        <w:tabs>
          <w:tab w:val="left" w:pos="4820"/>
        </w:tabs>
        <w:spacing w:after="160" w:line="259" w:lineRule="auto"/>
        <w:jc w:val="both"/>
        <w:rPr>
          <w:rFonts w:ascii="Century Gothic" w:eastAsia="Century Gothic" w:hAnsi="Century Gothic" w:cs="Century Gothic"/>
          <w:highlight w:val="white"/>
          <w:lang w:eastAsia="es-MX"/>
        </w:rPr>
      </w:pPr>
      <w:r w:rsidRPr="001D63A2">
        <w:rPr>
          <w:rFonts w:ascii="Century Gothic" w:eastAsia="Century Gothic" w:hAnsi="Century Gothic" w:cs="Century Gothic"/>
          <w:b/>
          <w:lang w:val="es-ES_tradnl" w:eastAsia="es-MX"/>
        </w:rPr>
        <w:t>HARRY GIOVANNY GONZALEZ GARCIA</w:t>
      </w:r>
      <w:r w:rsidRPr="00FF6EB3">
        <w:rPr>
          <w:rFonts w:ascii="Century Gothic" w:eastAsia="Century Gothic" w:hAnsi="Century Gothic" w:cs="Century Gothic"/>
          <w:highlight w:val="white"/>
          <w:lang w:eastAsia="es-MX"/>
        </w:rPr>
        <w:tab/>
      </w:r>
      <w:r w:rsidRPr="001D63A2">
        <w:rPr>
          <w:rFonts w:ascii="Century Gothic" w:eastAsia="Century Gothic" w:hAnsi="Century Gothic" w:cs="Century Gothic"/>
          <w:b/>
          <w:highlight w:val="white"/>
          <w:lang w:eastAsia="es-MX"/>
        </w:rPr>
        <w:t>JULIO CESAR TRIANA QUINTERO</w:t>
      </w:r>
    </w:p>
    <w:p w14:paraId="204178ED" w14:textId="77777777" w:rsidR="00FF6EB3" w:rsidRPr="00FF6EB3" w:rsidRDefault="00FF6EB3" w:rsidP="00FF6EB3">
      <w:pPr>
        <w:tabs>
          <w:tab w:val="left" w:pos="4820"/>
        </w:tabs>
        <w:spacing w:after="160" w:line="259" w:lineRule="auto"/>
        <w:jc w:val="both"/>
        <w:rPr>
          <w:rFonts w:ascii="Century Gothic" w:eastAsia="Century Gothic" w:hAnsi="Century Gothic" w:cs="Century Gothic"/>
          <w:highlight w:val="white"/>
          <w:lang w:eastAsia="es-MX"/>
        </w:rPr>
      </w:pPr>
      <w:r w:rsidRPr="00FF6EB3">
        <w:rPr>
          <w:rFonts w:ascii="Century Gothic" w:eastAsia="Century Gothic" w:hAnsi="Century Gothic" w:cs="Century Gothic"/>
          <w:highlight w:val="white"/>
          <w:lang w:eastAsia="es-MX"/>
        </w:rPr>
        <w:t>Ponente Coordinador</w:t>
      </w:r>
      <w:r w:rsidRPr="00FF6EB3">
        <w:rPr>
          <w:rFonts w:ascii="Century Gothic" w:eastAsia="Century Gothic" w:hAnsi="Century Gothic" w:cs="Century Gothic"/>
          <w:highlight w:val="white"/>
          <w:lang w:eastAsia="es-MX"/>
        </w:rPr>
        <w:tab/>
        <w:t>Presidente</w:t>
      </w:r>
    </w:p>
    <w:p w14:paraId="0AC8DF3D" w14:textId="77777777" w:rsidR="00FF6EB3" w:rsidRPr="00FF6EB3" w:rsidRDefault="00FF6EB3" w:rsidP="00FF6EB3">
      <w:pPr>
        <w:spacing w:after="160" w:line="259" w:lineRule="auto"/>
        <w:jc w:val="center"/>
        <w:rPr>
          <w:rFonts w:ascii="Century Gothic" w:eastAsia="Century Gothic" w:hAnsi="Century Gothic" w:cs="Century Gothic"/>
          <w:highlight w:val="white"/>
          <w:lang w:eastAsia="es-MX"/>
        </w:rPr>
      </w:pPr>
    </w:p>
    <w:p w14:paraId="53E88171" w14:textId="77777777" w:rsidR="00FF6EB3" w:rsidRPr="00FF6EB3" w:rsidRDefault="00FF6EB3" w:rsidP="00FF6EB3">
      <w:pPr>
        <w:spacing w:after="160" w:line="259" w:lineRule="auto"/>
        <w:jc w:val="center"/>
        <w:rPr>
          <w:rFonts w:ascii="Century Gothic" w:eastAsia="Century Gothic" w:hAnsi="Century Gothic" w:cs="Century Gothic"/>
          <w:highlight w:val="white"/>
          <w:lang w:eastAsia="es-MX"/>
        </w:rPr>
      </w:pPr>
    </w:p>
    <w:p w14:paraId="26F9BED5" w14:textId="77777777" w:rsidR="00FF6EB3" w:rsidRPr="00FF6EB3" w:rsidRDefault="00FF6EB3" w:rsidP="00FF6EB3">
      <w:pPr>
        <w:spacing w:after="160" w:line="259" w:lineRule="auto"/>
        <w:jc w:val="center"/>
        <w:rPr>
          <w:rFonts w:ascii="Century Gothic" w:eastAsia="Century Gothic" w:hAnsi="Century Gothic" w:cs="Century Gothic"/>
          <w:b/>
          <w:highlight w:val="white"/>
          <w:lang w:eastAsia="es-MX"/>
        </w:rPr>
      </w:pPr>
      <w:r w:rsidRPr="00FF6EB3">
        <w:rPr>
          <w:rFonts w:ascii="Century Gothic" w:eastAsia="Century Gothic" w:hAnsi="Century Gothic" w:cs="Century Gothic"/>
          <w:b/>
          <w:highlight w:val="white"/>
          <w:lang w:eastAsia="es-MX"/>
        </w:rPr>
        <w:t>AMPARO YANETH CALDERON PERDOMO</w:t>
      </w:r>
    </w:p>
    <w:p w14:paraId="735A1181" w14:textId="615E7759" w:rsidR="001D63A2" w:rsidRPr="001D63A2" w:rsidRDefault="00FF6EB3" w:rsidP="001D63A2">
      <w:pPr>
        <w:spacing w:after="160" w:line="259" w:lineRule="auto"/>
        <w:jc w:val="center"/>
        <w:rPr>
          <w:rFonts w:ascii="Century Gothic" w:eastAsia="Arial" w:hAnsi="Century Gothic" w:cs="Arial"/>
          <w:sz w:val="24"/>
          <w:szCs w:val="24"/>
        </w:rPr>
      </w:pPr>
      <w:r w:rsidRPr="00FF6EB3">
        <w:rPr>
          <w:rFonts w:ascii="Century Gothic" w:eastAsia="Century Gothic" w:hAnsi="Century Gothic" w:cs="Century Gothic"/>
          <w:highlight w:val="white"/>
          <w:lang w:eastAsia="es-MX"/>
        </w:rPr>
        <w:t>Secretaria</w:t>
      </w:r>
    </w:p>
    <w:sectPr w:rsidR="001D63A2" w:rsidRPr="001D63A2" w:rsidSect="001D63A2">
      <w:headerReference w:type="default" r:id="rId8"/>
      <w:footerReference w:type="default" r:id="rId9"/>
      <w:type w:val="continuous"/>
      <w:pgSz w:w="12240" w:h="15840"/>
      <w:pgMar w:top="180" w:right="1701" w:bottom="1134" w:left="1701" w:header="162" w:footer="27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6D089" w14:textId="77777777" w:rsidR="006B7689" w:rsidRDefault="006B7689">
      <w:pPr>
        <w:spacing w:after="0" w:line="240" w:lineRule="auto"/>
      </w:pPr>
      <w:r>
        <w:separator/>
      </w:r>
    </w:p>
  </w:endnote>
  <w:endnote w:type="continuationSeparator" w:id="0">
    <w:p w14:paraId="2E26C09F" w14:textId="77777777" w:rsidR="006B7689" w:rsidRDefault="006B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w:altName w:val="Times New Roman"/>
    <w:charset w:val="00"/>
    <w:family w:val="auto"/>
    <w:pitch w:val="default"/>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6CF9B" w14:textId="77777777" w:rsidR="00F26A56" w:rsidRDefault="00F26A56" w:rsidP="00F26A56">
    <w:pPr>
      <w:tabs>
        <w:tab w:val="center" w:pos="4252"/>
        <w:tab w:val="right" w:pos="8504"/>
      </w:tabs>
      <w:spacing w:after="0" w:line="240" w:lineRule="auto"/>
      <w:jc w:val="center"/>
      <w:rPr>
        <w:rFonts w:ascii="Aparajita" w:eastAsia="Times New Roman" w:hAnsi="Aparajita" w:cs="Aparajita"/>
        <w:color w:val="595959"/>
        <w:szCs w:val="24"/>
        <w:lang w:val="es-ES" w:eastAsia="es-ES"/>
      </w:rPr>
    </w:pPr>
  </w:p>
  <w:p w14:paraId="330CB2ED" w14:textId="77777777" w:rsidR="00F26A56" w:rsidRPr="00F26A56" w:rsidRDefault="00F26A56" w:rsidP="00F26A56">
    <w:pPr>
      <w:tabs>
        <w:tab w:val="center" w:pos="4252"/>
        <w:tab w:val="right" w:pos="8504"/>
      </w:tabs>
      <w:spacing w:after="0" w:line="240" w:lineRule="auto"/>
      <w:jc w:val="center"/>
      <w:rPr>
        <w:rFonts w:ascii="Aparajita" w:eastAsia="Times New Roman" w:hAnsi="Aparajita" w:cs="Aparajita"/>
        <w:color w:val="595959"/>
        <w:szCs w:val="24"/>
        <w:lang w:val="es-ES" w:eastAsia="es-ES"/>
      </w:rPr>
    </w:pPr>
    <w:r w:rsidRPr="00F26A56">
      <w:rPr>
        <w:rFonts w:ascii="Aparajita" w:eastAsia="Times New Roman" w:hAnsi="Aparajita" w:cs="Aparajita"/>
        <w:color w:val="595959"/>
        <w:szCs w:val="24"/>
        <w:lang w:val="es-ES" w:eastAsia="es-ES"/>
      </w:rPr>
      <w:t>Comisión Primera de la H. Cámara de Representantes</w:t>
    </w:r>
  </w:p>
  <w:p w14:paraId="09390192" w14:textId="77777777" w:rsidR="00F26A56" w:rsidRPr="00F26A56" w:rsidRDefault="00F26A56" w:rsidP="00F26A56">
    <w:pPr>
      <w:tabs>
        <w:tab w:val="center" w:pos="4252"/>
        <w:tab w:val="right" w:pos="8504"/>
      </w:tabs>
      <w:spacing w:after="0" w:line="240" w:lineRule="auto"/>
      <w:jc w:val="center"/>
      <w:rPr>
        <w:rFonts w:ascii="Aparajita" w:eastAsia="Times New Roman" w:hAnsi="Aparajita" w:cs="Aparajita"/>
        <w:color w:val="808080"/>
        <w:szCs w:val="24"/>
        <w:u w:val="single"/>
        <w:lang w:val="es-ES" w:eastAsia="es-ES"/>
      </w:rPr>
    </w:pPr>
    <w:r w:rsidRPr="00F26A56">
      <w:rPr>
        <w:rFonts w:ascii="Aparajita" w:eastAsia="Times New Roman" w:hAnsi="Aparajita" w:cs="Aparajita"/>
        <w:color w:val="595959"/>
        <w:szCs w:val="24"/>
        <w:lang w:val="es-ES" w:eastAsia="es-ES"/>
      </w:rPr>
      <w:t>Carrera 7 N° 8 – 68, oficina 238 B</w:t>
    </w:r>
    <w:r w:rsidRPr="00F26A56">
      <w:rPr>
        <w:rFonts w:ascii="Aparajita" w:eastAsia="Times New Roman" w:hAnsi="Aparajita" w:cs="Aparajita"/>
        <w:color w:val="808080"/>
        <w:szCs w:val="24"/>
        <w:lang w:val="es-ES" w:eastAsia="es-ES"/>
      </w:rPr>
      <w:t xml:space="preserve">  </w:t>
    </w:r>
    <w:hyperlink r:id="rId1" w:history="1">
      <w:r w:rsidRPr="00F26A56">
        <w:rPr>
          <w:rFonts w:ascii="Aparajita" w:eastAsia="Times New Roman" w:hAnsi="Aparajita" w:cs="Aparajita"/>
          <w:color w:val="023160"/>
          <w:szCs w:val="24"/>
          <w:u w:val="single"/>
          <w:lang w:val="es-ES" w:eastAsia="es-ES"/>
        </w:rPr>
        <w:t>www.camara.gov.co</w:t>
      </w:r>
    </w:hyperlink>
  </w:p>
  <w:p w14:paraId="6AFDFEDA" w14:textId="12113692" w:rsidR="00F26A56" w:rsidRPr="00F26A56" w:rsidRDefault="00F26A56" w:rsidP="00F26A56">
    <w:pPr>
      <w:tabs>
        <w:tab w:val="center" w:pos="4419"/>
        <w:tab w:val="right" w:pos="8838"/>
      </w:tabs>
      <w:spacing w:after="0" w:line="240" w:lineRule="auto"/>
      <w:jc w:val="center"/>
      <w:rPr>
        <w:lang w:val="es-ES_tradnl" w:eastAsia="es-MX"/>
      </w:rPr>
    </w:pPr>
    <w:r w:rsidRPr="00F26A56">
      <w:rPr>
        <w:rFonts w:ascii="Aparajita" w:eastAsia="Times New Roman" w:hAnsi="Aparajita" w:cs="Aparajita"/>
        <w:color w:val="595959"/>
        <w:szCs w:val="24"/>
        <w:lang w:val="es-ES" w:eastAsia="es-ES"/>
      </w:rPr>
      <w:t>PBX: 3904050 – Ext. 4289 - 4288  Email:</w:t>
    </w:r>
    <w:r w:rsidRPr="00F26A56">
      <w:rPr>
        <w:rFonts w:ascii="Aparajita" w:eastAsia="Times New Roman" w:hAnsi="Aparajita" w:cs="Aparajita"/>
        <w:color w:val="808080"/>
        <w:szCs w:val="24"/>
        <w:lang w:val="en-US" w:eastAsia="es-ES"/>
      </w:rPr>
      <w:t xml:space="preserve"> </w:t>
    </w:r>
    <w:hyperlink r:id="rId2" w:history="1">
      <w:r w:rsidRPr="00F26A56">
        <w:rPr>
          <w:rFonts w:ascii="Aparajita" w:hAnsi="Aparajita" w:cs="Aparajita"/>
          <w:color w:val="023160"/>
          <w:szCs w:val="24"/>
          <w:u w:val="single"/>
          <w:lang w:val="en-US" w:eastAsia="en-US"/>
        </w:rPr>
        <w:t>comision.primera@camara.gov.co</w:t>
      </w:r>
    </w:hyperlink>
    <w:r w:rsidR="00D86B07">
      <w:rPr>
        <w:rFonts w:ascii="Aparajita" w:hAnsi="Aparajita" w:cs="Aparajita"/>
        <w:color w:val="023160"/>
        <w:szCs w:val="24"/>
        <w:u w:val="single"/>
        <w:lang w:val="en-US"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45970" w14:textId="77777777" w:rsidR="006B7689" w:rsidRDefault="006B7689">
      <w:pPr>
        <w:spacing w:after="0" w:line="240" w:lineRule="auto"/>
      </w:pPr>
      <w:r>
        <w:separator/>
      </w:r>
    </w:p>
  </w:footnote>
  <w:footnote w:type="continuationSeparator" w:id="0">
    <w:p w14:paraId="6197430F" w14:textId="77777777" w:rsidR="006B7689" w:rsidRDefault="006B7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8EA9" w14:textId="14D2893F" w:rsidR="003C1EB7" w:rsidRDefault="006B7689">
    <w:pPr>
      <w:pBdr>
        <w:top w:val="nil"/>
        <w:left w:val="nil"/>
        <w:bottom w:val="nil"/>
        <w:right w:val="nil"/>
        <w:between w:val="nil"/>
      </w:pBdr>
      <w:tabs>
        <w:tab w:val="center" w:pos="4419"/>
        <w:tab w:val="right" w:pos="8838"/>
        <w:tab w:val="left" w:pos="6754"/>
      </w:tabs>
      <w:spacing w:after="0" w:line="240" w:lineRule="auto"/>
      <w:rPr>
        <w:color w:val="000000"/>
      </w:rPr>
    </w:pPr>
    <w:sdt>
      <w:sdtPr>
        <w:rPr>
          <w:color w:val="000000"/>
        </w:rPr>
        <w:id w:val="-674268159"/>
        <w:docPartObj>
          <w:docPartGallery w:val="Page Numbers (Margins)"/>
          <w:docPartUnique/>
        </w:docPartObj>
      </w:sdtPr>
      <w:sdtEndPr/>
      <w:sdtContent>
        <w:r w:rsidR="00D86B07" w:rsidRPr="00D86B07">
          <w:rPr>
            <w:noProof/>
            <w:color w:val="000000"/>
          </w:rPr>
          <mc:AlternateContent>
            <mc:Choice Requires="wps">
              <w:drawing>
                <wp:anchor distT="0" distB="0" distL="114300" distR="114300" simplePos="0" relativeHeight="251659264" behindDoc="0" locked="0" layoutInCell="0" allowOverlap="1" wp14:anchorId="0B2329BC" wp14:editId="2645F407">
                  <wp:simplePos x="0" y="0"/>
                  <wp:positionH relativeFrom="rightMargin">
                    <wp:align>right</wp:align>
                  </wp:positionH>
                  <mc:AlternateContent>
                    <mc:Choice Requires="wp14">
                      <wp:positionV relativeFrom="margin">
                        <wp14:pctPosVOffset>10000</wp14:pctPosVOffset>
                      </wp:positionV>
                    </mc:Choice>
                    <mc:Fallback>
                      <wp:positionV relativeFrom="page">
                        <wp:posOffset>1036320</wp:posOffset>
                      </wp:positionV>
                    </mc:Fallback>
                  </mc:AlternateContent>
                  <wp:extent cx="819150" cy="433705"/>
                  <wp:effectExtent l="0" t="0" r="1905" b="444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4C299" w14:textId="77777777" w:rsidR="00D86B07" w:rsidRDefault="00D86B07">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F768BF" w:rsidRPr="00F768BF">
                                <w:rPr>
                                  <w:noProof/>
                                  <w:lang w:val="es-ES"/>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B2329BC" id="Rectángulo 35"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" o:allowincell="f" stroked="f">
                  <v:textbox style="mso-fit-shape-to-text:t" inset="0,,0">
                    <w:txbxContent>
                      <w:p w14:paraId="5F04C299" w14:textId="77777777" w:rsidR="00D86B07" w:rsidRDefault="00D86B07">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F768BF" w:rsidRPr="00F768BF">
                          <w:rPr>
                            <w:noProof/>
                            <w:lang w:val="es-ES"/>
                          </w:rPr>
                          <w:t>1</w:t>
                        </w:r>
                        <w:r>
                          <w:fldChar w:fldCharType="end"/>
                        </w:r>
                      </w:p>
                    </w:txbxContent>
                  </v:textbox>
                  <w10:wrap anchorx="margin" anchory="margin"/>
                </v:rect>
              </w:pict>
            </mc:Fallback>
          </mc:AlternateContent>
        </w:r>
      </w:sdtContent>
    </w:sdt>
    <w:r w:rsidR="00EF2030">
      <w:rPr>
        <w:color w:val="000000"/>
      </w:rPr>
      <w:t xml:space="preserve">                                     </w:t>
    </w:r>
  </w:p>
  <w:p w14:paraId="2FEB23F1" w14:textId="45D02254" w:rsidR="003C1EB7" w:rsidRDefault="00F26A56" w:rsidP="00F26A56">
    <w:pPr>
      <w:pBdr>
        <w:top w:val="nil"/>
        <w:left w:val="nil"/>
        <w:bottom w:val="nil"/>
        <w:right w:val="nil"/>
        <w:between w:val="nil"/>
      </w:pBdr>
      <w:tabs>
        <w:tab w:val="center" w:pos="4419"/>
        <w:tab w:val="right" w:pos="8838"/>
        <w:tab w:val="left" w:pos="6754"/>
      </w:tabs>
      <w:spacing w:after="0" w:line="240" w:lineRule="auto"/>
      <w:jc w:val="center"/>
      <w:rPr>
        <w:color w:val="000000"/>
      </w:rPr>
    </w:pPr>
    <w:r>
      <w:rPr>
        <w:noProof/>
      </w:rPr>
      <w:drawing>
        <wp:inline distT="0" distB="0" distL="0" distR="0" wp14:anchorId="4E5BF163" wp14:editId="3848396F">
          <wp:extent cx="2667000" cy="763905"/>
          <wp:effectExtent l="0" t="0" r="0" b="0"/>
          <wp:docPr id="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67000" cy="763905"/>
                  </a:xfrm>
                  <a:prstGeom prst="rect">
                    <a:avLst/>
                  </a:prstGeom>
                  <a:ln/>
                </pic:spPr>
              </pic:pic>
            </a:graphicData>
          </a:graphic>
        </wp:inline>
      </w:drawing>
    </w:r>
  </w:p>
  <w:p w14:paraId="6ACE93CA" w14:textId="77777777" w:rsidR="003C1EB7" w:rsidRDefault="003C1EB7">
    <w:pPr>
      <w:pBdr>
        <w:top w:val="nil"/>
        <w:left w:val="nil"/>
        <w:bottom w:val="nil"/>
        <w:right w:val="nil"/>
        <w:between w:val="nil"/>
      </w:pBdr>
      <w:tabs>
        <w:tab w:val="center" w:pos="4419"/>
        <w:tab w:val="right" w:pos="8838"/>
        <w:tab w:val="left" w:pos="6754"/>
      </w:tabs>
      <w:spacing w:after="0" w:line="240" w:lineRule="auto"/>
      <w:rPr>
        <w:color w:val="000000"/>
        <w:sz w:val="20"/>
        <w:szCs w:val="20"/>
      </w:rPr>
    </w:pPr>
  </w:p>
  <w:p w14:paraId="120891EA" w14:textId="77777777" w:rsidR="003C1EB7" w:rsidRDefault="00EF2030">
    <w:pPr>
      <w:pBdr>
        <w:top w:val="nil"/>
        <w:left w:val="nil"/>
        <w:bottom w:val="nil"/>
        <w:right w:val="nil"/>
        <w:between w:val="nil"/>
      </w:pBdr>
      <w:tabs>
        <w:tab w:val="center" w:pos="4419"/>
        <w:tab w:val="right" w:pos="8838"/>
        <w:tab w:val="left" w:pos="3315"/>
        <w:tab w:val="left" w:pos="6754"/>
      </w:tabs>
      <w:spacing w:after="0" w:line="240" w:lineRule="auto"/>
      <w:rPr>
        <w:rFonts w:ascii="Gill Sans" w:eastAsia="Gill Sans" w:hAnsi="Gill Sans" w:cs="Gill Sans"/>
        <w:color w:val="000000"/>
        <w:sz w:val="20"/>
        <w:szCs w:val="20"/>
      </w:rPr>
    </w:pPr>
    <w:r>
      <w:rPr>
        <w:rFonts w:ascii="Gill Sans" w:eastAsia="Gill Sans" w:hAnsi="Gill Sans" w:cs="Gill Sans"/>
        <w:color w:val="000000"/>
        <w:sz w:val="20"/>
        <w:szCs w:val="20"/>
      </w:rPr>
      <w:tab/>
    </w:r>
    <w:r>
      <w:rPr>
        <w:rFonts w:ascii="Gill Sans" w:eastAsia="Gill Sans" w:hAnsi="Gill Sans" w:cs="Gill Sans"/>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74B"/>
    <w:multiLevelType w:val="multilevel"/>
    <w:tmpl w:val="837A616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41313C27"/>
    <w:multiLevelType w:val="multilevel"/>
    <w:tmpl w:val="CA78FE4A"/>
    <w:lvl w:ilvl="0">
      <w:start w:val="1"/>
      <w:numFmt w:val="upperRoman"/>
      <w:lvlText w:val="%1."/>
      <w:lvlJc w:val="left"/>
      <w:pPr>
        <w:ind w:left="1080" w:hanging="720"/>
      </w:pPr>
      <w:rPr>
        <w:b/>
      </w:rPr>
    </w:lvl>
    <w:lvl w:ilvl="1">
      <w:start w:val="1"/>
      <w:numFmt w:val="decimal"/>
      <w:lvlText w:val="%2."/>
      <w:lvlJc w:val="left"/>
      <w:pPr>
        <w:ind w:left="107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770AB0"/>
    <w:multiLevelType w:val="multilevel"/>
    <w:tmpl w:val="5FB878CA"/>
    <w:lvl w:ilvl="0">
      <w:start w:val="1"/>
      <w:numFmt w:val="upperRoman"/>
      <w:lvlText w:val="%1."/>
      <w:lvlJc w:val="left"/>
      <w:pPr>
        <w:ind w:left="108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B7"/>
    <w:rsid w:val="00075138"/>
    <w:rsid w:val="001D63A2"/>
    <w:rsid w:val="001F194E"/>
    <w:rsid w:val="00235736"/>
    <w:rsid w:val="002C1956"/>
    <w:rsid w:val="002D3B7D"/>
    <w:rsid w:val="003014AF"/>
    <w:rsid w:val="0035048D"/>
    <w:rsid w:val="003954BF"/>
    <w:rsid w:val="003C1EB7"/>
    <w:rsid w:val="00496A4F"/>
    <w:rsid w:val="00521EB9"/>
    <w:rsid w:val="005319A5"/>
    <w:rsid w:val="00542CB5"/>
    <w:rsid w:val="005461F5"/>
    <w:rsid w:val="005F70A8"/>
    <w:rsid w:val="006222F3"/>
    <w:rsid w:val="006B7689"/>
    <w:rsid w:val="007211C7"/>
    <w:rsid w:val="007462ED"/>
    <w:rsid w:val="00A46A08"/>
    <w:rsid w:val="00AB0236"/>
    <w:rsid w:val="00AE0469"/>
    <w:rsid w:val="00AE56A5"/>
    <w:rsid w:val="00C72E46"/>
    <w:rsid w:val="00D86B07"/>
    <w:rsid w:val="00EF2030"/>
    <w:rsid w:val="00F26A56"/>
    <w:rsid w:val="00F768BF"/>
    <w:rsid w:val="00FA08DF"/>
    <w:rsid w:val="00FF6E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6EB2F"/>
  <w15:docId w15:val="{A2E2003C-63D5-4DF0-A754-851EB57E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92E"/>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421995"/>
    <w:rPr>
      <w:color w:val="800080" w:themeColor="followedHyperlink"/>
      <w:u w:val="single"/>
    </w:rPr>
  </w:style>
  <w:style w:type="paragraph" w:styleId="Textonotapie">
    <w:name w:val="footnote text"/>
    <w:aliases w:val="ft,Texto nota pie Car Car Car Car Car Car,Texto nota pie Car Car Car Car Car,Texto nota pie Car Car,ft Car Car,Ref. de nota al pie1,Texto de nota al pie"/>
    <w:basedOn w:val="Normal"/>
    <w:link w:val="TextonotapieCar"/>
    <w:uiPriority w:val="99"/>
    <w:rsid w:val="004D19DD"/>
    <w:pPr>
      <w:spacing w:after="0" w:line="240" w:lineRule="auto"/>
    </w:pPr>
    <w:rPr>
      <w:rFonts w:ascii="Times New Roman" w:hAnsi="Times New Roman" w:cs="Times New Roman"/>
      <w:sz w:val="20"/>
      <w:szCs w:val="20"/>
      <w:lang w:val="es-ES" w:eastAsia="es-ES"/>
    </w:rPr>
  </w:style>
  <w:style w:type="character" w:customStyle="1" w:styleId="TextonotapieCar">
    <w:name w:val="Texto nota pie Car"/>
    <w:aliases w:val="ft Car,Texto nota pie Car Car Car Car Car Car Car,Texto nota pie Car Car Car Car Car Car1,Texto nota pie Car Car Car,ft Car Car Car,Ref. de nota al pie1 Car,Texto de nota al pie Car"/>
    <w:basedOn w:val="Fuentedeprrafopredeter"/>
    <w:link w:val="Textonotapie"/>
    <w:uiPriority w:val="99"/>
    <w:rsid w:val="004D19DD"/>
    <w:rPr>
      <w:rFonts w:ascii="Times New Roman" w:eastAsia="Calibri" w:hAnsi="Times New Roman" w:cs="Times New Roman"/>
      <w:sz w:val="20"/>
      <w:szCs w:val="20"/>
      <w:lang w:val="es-ES" w:eastAsia="es-ES"/>
    </w:rPr>
  </w:style>
  <w:style w:type="character" w:styleId="Refdenotaalpie">
    <w:name w:val="footnote reference"/>
    <w:aliases w:val="Ref,de nota al pie,Nota de pie,Ref. de nota al pie2,Massilia Footnote Reference"/>
    <w:uiPriority w:val="99"/>
    <w:rsid w:val="004D19DD"/>
    <w:rPr>
      <w:vertAlign w:val="superscript"/>
    </w:rPr>
  </w:style>
  <w:style w:type="paragraph" w:customStyle="1" w:styleId="Default">
    <w:name w:val="Default"/>
    <w:rsid w:val="004D19DD"/>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Textoindependiente">
    <w:name w:val="Body Text"/>
    <w:basedOn w:val="Normal"/>
    <w:link w:val="TextoindependienteCar"/>
    <w:rsid w:val="004D19DD"/>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4D19DD"/>
    <w:rPr>
      <w:rFonts w:ascii="Times New Roman" w:eastAsia="Times New Roman" w:hAnsi="Times New Roman" w:cs="Times New Roman"/>
      <w:sz w:val="24"/>
      <w:szCs w:val="24"/>
      <w:lang w:val="x-none" w:eastAsia="x-none"/>
    </w:rPr>
  </w:style>
  <w:style w:type="character" w:customStyle="1" w:styleId="PrrafodelistaCar">
    <w:name w:val="Párrafo de lista Car"/>
    <w:link w:val="Prrafodelista"/>
    <w:uiPriority w:val="34"/>
    <w:locked/>
    <w:rsid w:val="004D19DD"/>
  </w:style>
  <w:style w:type="paragraph" w:customStyle="1" w:styleId="estlos-gacetast-tulos">
    <w:name w:val="estlos-gacetas_t-tulos"/>
    <w:basedOn w:val="Normal"/>
    <w:rsid w:val="004D1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los-gacetasp-rrafos">
    <w:name w:val="estlos-gacetas_p-rrafos"/>
    <w:basedOn w:val="Normal"/>
    <w:rsid w:val="004D1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Fuentedeprrafopredeter"/>
    <w:rsid w:val="004D19D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ebjklpY9V/pFlgA3vCLPKHyd9A==">AMUW2mUYDhu8nzqrPxksmvB8YGJKKwF8gORFFXdwX+L4Rk22QdkvcjLl9JfpNtC5UUQ2551KTvX9wGxGo+pWCSiVflDS4TrSsct4e5mKTEuaKp5S6YDxWKQ=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498</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Carmen</dc:creator>
  <cp:lastModifiedBy>Javier Eduardo Figueroa Pulido</cp:lastModifiedBy>
  <cp:revision>31</cp:revision>
  <cp:lastPrinted>2021-07-28T22:33:00Z</cp:lastPrinted>
  <dcterms:created xsi:type="dcterms:W3CDTF">2021-07-28T21:38:00Z</dcterms:created>
  <dcterms:modified xsi:type="dcterms:W3CDTF">2021-07-29T14:06:00Z</dcterms:modified>
</cp:coreProperties>
</file>